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lastRenderedPageBreak/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na czym polega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funkcję absurdu na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przedstawia i omawia problematykę i konwencję obrazowania samodzielnie wybranego cyklu rysunków 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pacer: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memy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próbuje stworzyć </w:t>
            </w:r>
            <w:proofErr w:type="spellStart"/>
            <w:r w:rsidRPr="00FE6B93">
              <w:rPr>
                <w:rFonts w:cs="AgendaPl RegularCondensed"/>
                <w:spacing w:val="-2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prosty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ciekawy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oryginalny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samodzielnie wybrane utwory Jana Twardowskiego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Popkiewicz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znaczenia samodzielnie wybranego filmu animowanego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wiersz ze szczególnym uwzględnieniem refleksji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Patinir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</w:t>
            </w:r>
            <w:proofErr w:type="spellStart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</w:t>
            </w:r>
            <w:proofErr w:type="spellStart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 przeprowadzonych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problematyki wolności 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uczniowskie kalendarze 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Portret małżonków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Arnolfinich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internecie</w:t>
            </w:r>
            <w:proofErr w:type="spellEnd"/>
            <w:r w:rsidRPr="00954557">
              <w:rPr>
                <w:rFonts w:cs="AgendaPl RegularCondensed"/>
                <w:sz w:val="20"/>
                <w:szCs w:val="20"/>
              </w:rPr>
              <w:t xml:space="preserve"> wypowiedzi będące 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blogami</w:t>
            </w:r>
            <w:proofErr w:type="spellEnd"/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ustala, dlaczego utwór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</w:t>
            </w: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lastRenderedPageBreak/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odtwarza własnymi słowami definicję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tekst ze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Michel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Karol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Konwerski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Blaki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warstwy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znaczy, że teatr jest sztuką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wielotworzywową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specyfikę teatru jako sztuki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wielotworzywowej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spektakl ze szczególnym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lastRenderedPageBreak/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czyta tekst ze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 czasie lektury korzysta z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bene</w:t>
            </w:r>
            <w:proofErr w:type="spellEnd"/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odtwarza treść własnymi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bene</w:t>
            </w:r>
            <w:proofErr w:type="spellEnd"/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formułuje temat i określa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ars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bene</w:t>
            </w:r>
            <w:proofErr w:type="spellEnd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Ziele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 xml:space="preserve">przedstawia swoje pierwsze wrażenia po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lastRenderedPageBreak/>
              <w:t>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opowiada o swoich uczuciach wywołanych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wyjaśnia, do jakich refleksji skłania lektura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tekst ze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o osobach szczególnie zasłużonych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o osobach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przedstawienie miejsc pamięci związane z walką 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 xml:space="preserve">pisze ciekawą charakterystykę porównawczą bohaterów, zachowując wszystkie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lastRenderedPageBreak/>
              <w:t>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, rysunki na murze między Izraelem a Palestyną (street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lastRenderedPageBreak/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rozpoznaje utwory epickie wśród innych rodzajów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 xml:space="preserve">amodzielnie analizuje i interpretuje tekst ze </w:t>
            </w:r>
            <w:r w:rsidR="008F2B67" w:rsidRPr="00E96A0B">
              <w:rPr>
                <w:rFonts w:cs="AgendaPl RegularCondensed"/>
                <w:sz w:val="20"/>
                <w:szCs w:val="20"/>
              </w:rPr>
              <w:lastRenderedPageBreak/>
              <w:t>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Wandałowski</w:t>
            </w:r>
            <w:proofErr w:type="spellEnd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odróżnia spot reklamowy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wie, co to jest spot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omawia cechy spotu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wyjaśnia mechanizm działania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Grzędowicz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Rodolphe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Jaquette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Bernard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Capo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 zdynamizowanego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lastRenderedPageBreak/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proponuje  kandydata do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uzasadnia wybór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bierze aktywny udział w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samodzielnie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Aleksander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Minorski</w:t>
            </w:r>
            <w:proofErr w:type="spellEnd"/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</w:t>
            </w:r>
            <w:proofErr w:type="spellStart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>ikaryjski</w:t>
            </w:r>
            <w:proofErr w:type="spellEnd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Michał Głowiński, Aleksandra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Okopień-Sławińska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 xml:space="preserve">dostrzega problematykę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Szczęście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i ustosunkowuje się do zawartych w nim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Richard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Carlson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omówienia i oceny 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 określa postawę życiową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prezentowanej w nim 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miniwykłady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Ehrmann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  <w:proofErr w:type="spellEnd"/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związaną z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Wyeth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lernejska</w:t>
            </w:r>
            <w:proofErr w:type="spellEnd"/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przestępców z opowiadań o Herkulesie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Poirocie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</w:t>
            </w:r>
            <w:r w:rsidRPr="00913D34">
              <w:rPr>
                <w:rFonts w:cs="AgendaPl RegularCondensed"/>
                <w:sz w:val="20"/>
                <w:szCs w:val="20"/>
              </w:rPr>
              <w:lastRenderedPageBreak/>
              <w:t>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wykorzystuje wiedzę o zdaniu podrzędnie złożonym dopełnieniowym przy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analizuje relacje między 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na wykresie i omawia 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Style funkcjonalne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lastRenderedPageBreak/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składa się na styl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jest styl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zna style funkcjonalne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stara się wprowadzać cytaty do swoich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poprawnie wprowadza cytaty do swoich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świadomie, celowo, poprawnie, funkcjonalnie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 xml:space="preserve">rozpoznaje mowę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lastRenderedPageBreak/>
              <w:t>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9D" w:rsidRDefault="00B73A9D" w:rsidP="00285D6F">
      <w:pPr>
        <w:spacing w:after="0" w:line="240" w:lineRule="auto"/>
      </w:pPr>
      <w:r>
        <w:separator/>
      </w:r>
    </w:p>
  </w:endnote>
  <w:endnote w:type="continuationSeparator" w:id="0">
    <w:p w:rsidR="00B73A9D" w:rsidRDefault="00B73A9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A" w:rsidRDefault="003E4C73" w:rsidP="00285D6F">
    <w:pPr>
      <w:pStyle w:val="Stopka"/>
      <w:tabs>
        <w:tab w:val="clear" w:pos="9072"/>
        <w:tab w:val="right" w:pos="9639"/>
      </w:tabs>
      <w:ind w:left="-567" w:right="1"/>
    </w:pPr>
    <w:r w:rsidRPr="003E4C73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889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3E4C73" w:rsidP="009130E5">
    <w:pPr>
      <w:pStyle w:val="Stopka"/>
      <w:ind w:left="-1417"/>
      <w:jc w:val="center"/>
    </w:pPr>
    <w:r>
      <w:fldChar w:fldCharType="begin"/>
    </w:r>
    <w:r w:rsidR="00963D8A">
      <w:instrText>PAGE   \* MERGEFORMAT</w:instrText>
    </w:r>
    <w:r>
      <w:fldChar w:fldCharType="separate"/>
    </w:r>
    <w:r w:rsidR="00BA0F56">
      <w:rPr>
        <w:noProof/>
      </w:rPr>
      <w:t>1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9D" w:rsidRDefault="00B73A9D" w:rsidP="00285D6F">
      <w:pPr>
        <w:spacing w:after="0" w:line="240" w:lineRule="auto"/>
      </w:pPr>
      <w:r>
        <w:separator/>
      </w:r>
    </w:p>
  </w:footnote>
  <w:footnote w:type="continuationSeparator" w:id="0">
    <w:p w:rsidR="00B73A9D" w:rsidRDefault="00B73A9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09C2"/>
    <w:rsid w:val="000175DD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3E4C73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01DF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73A9D"/>
    <w:rsid w:val="00B86290"/>
    <w:rsid w:val="00B948DF"/>
    <w:rsid w:val="00BA0F56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EE361C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6DA8-BB94-4D0B-8790-7C89717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17425</Words>
  <Characters>104551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</cp:lastModifiedBy>
  <cp:revision>3</cp:revision>
  <cp:lastPrinted>2017-06-11T19:17:00Z</cp:lastPrinted>
  <dcterms:created xsi:type="dcterms:W3CDTF">2023-09-07T19:12:00Z</dcterms:created>
  <dcterms:modified xsi:type="dcterms:W3CDTF">2023-09-07T19:46:00Z</dcterms:modified>
</cp:coreProperties>
</file>