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6041E01B" w14:textId="6BD2DA72" w:rsidR="00137291" w:rsidRPr="00654D4E" w:rsidRDefault="005E3504" w:rsidP="0013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37291">
        <w:rPr>
          <w:rFonts w:ascii="Times New Roman" w:hAnsi="Times New Roman" w:cs="Times New Roman"/>
          <w:b/>
          <w:sz w:val="24"/>
          <w:szCs w:val="24"/>
        </w:rPr>
        <w:t>Suis</w:t>
      </w:r>
      <w:proofErr w:type="spellEnd"/>
      <w:r w:rsidR="00137291">
        <w:rPr>
          <w:rFonts w:ascii="Times New Roman" w:hAnsi="Times New Roman" w:cs="Times New Roman"/>
          <w:b/>
          <w:sz w:val="24"/>
          <w:szCs w:val="24"/>
        </w:rPr>
        <w:t xml:space="preserve"> vide</w:t>
      </w:r>
      <w:r w:rsidR="00472879" w:rsidRPr="00C429E8">
        <w:rPr>
          <w:rFonts w:ascii="Times New Roman" w:hAnsi="Times New Roman" w:cs="Times New Roman"/>
          <w:sz w:val="24"/>
          <w:szCs w:val="24"/>
        </w:rPr>
        <w:t xml:space="preserve"> </w:t>
      </w:r>
      <w:r w:rsidR="00137291" w:rsidRPr="00E231CF">
        <w:rPr>
          <w:rFonts w:ascii="Times New Roman" w:hAnsi="Times New Roman" w:cs="Times New Roman"/>
          <w:sz w:val="24"/>
          <w:szCs w:val="24"/>
        </w:rPr>
        <w:t>- špeciálne zariadenie</w:t>
      </w:r>
      <w:r w:rsidR="00137291">
        <w:rPr>
          <w:rFonts w:ascii="Times New Roman" w:hAnsi="Times New Roman" w:cs="Times New Roman"/>
          <w:sz w:val="24"/>
          <w:szCs w:val="24"/>
        </w:rPr>
        <w:t xml:space="preserve"> </w:t>
      </w:r>
      <w:r w:rsidR="00137291" w:rsidRPr="00654D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7291" w:rsidRPr="00654D4E">
        <w:rPr>
          <w:rFonts w:ascii="Times New Roman" w:hAnsi="Times New Roman" w:cs="Times New Roman"/>
          <w:sz w:val="24"/>
          <w:szCs w:val="24"/>
        </w:rPr>
        <w:t>vakuovačka</w:t>
      </w:r>
      <w:proofErr w:type="spellEnd"/>
      <w:r w:rsidR="00137291" w:rsidRPr="00654D4E">
        <w:rPr>
          <w:rFonts w:ascii="Times New Roman" w:hAnsi="Times New Roman" w:cs="Times New Roman"/>
          <w:sz w:val="24"/>
          <w:szCs w:val="24"/>
        </w:rPr>
        <w:t>, varič, termostat, časovač), prostredníctvom ktorého sa pripravujú pokrmy vo vákuu pomalým varením pri nízkej teplote trvajúcim niekoľko hodín. Takýto spôsob prípravy pokrmov im dodá lahodnú nezabudnuteľnú chuť. Je absolútnym trendom v špeciálnych reštauráciách, ktoré vyhľadávajú gurmáni po celom svete.</w:t>
      </w:r>
    </w:p>
    <w:p w14:paraId="26FECEF8" w14:textId="77777777" w:rsidR="00C429E8" w:rsidRPr="00C429E8" w:rsidRDefault="00C429E8" w:rsidP="00B0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sz w:val="24"/>
          <w:szCs w:val="24"/>
        </w:rPr>
        <w:t xml:space="preserve">Ide o vybavenie – špeciálne technické zariadenia - na prípravu moderných regionálnych pokrmov a nápojov na workshopoch v rámci projektu </w:t>
      </w:r>
      <w:proofErr w:type="spellStart"/>
      <w:r w:rsidRPr="00C429E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C429E8">
        <w:rPr>
          <w:rFonts w:ascii="Times New Roman" w:hAnsi="Times New Roman" w:cs="Times New Roman"/>
          <w:sz w:val="24"/>
          <w:szCs w:val="24"/>
        </w:rPr>
        <w:t xml:space="preserve">, ktoré sa budú konať v Strednej odbornej škole obchodu a služieb, Stavbárska 11, Martin. </w:t>
      </w:r>
    </w:p>
    <w:p w14:paraId="1C6D5296" w14:textId="38F52204" w:rsidR="009068F8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B07902">
        <w:rPr>
          <w:rFonts w:ascii="Times New Roman" w:eastAsia="CIDFont+F2" w:hAnsi="Times New Roman" w:cs="Times New Roman"/>
          <w:sz w:val="24"/>
          <w:szCs w:val="24"/>
        </w:rPr>
        <w:t>Zariadeni</w:t>
      </w:r>
      <w:r w:rsidRPr="00B07902">
        <w:rPr>
          <w:rFonts w:ascii="Times New Roman" w:eastAsia="CIDFont+F2" w:hAnsi="Times New Roman" w:cs="Times New Roman"/>
          <w:sz w:val="24"/>
          <w:szCs w:val="24"/>
        </w:rPr>
        <w:t>e</w:t>
      </w:r>
      <w:r w:rsidRPr="00B07902">
        <w:rPr>
          <w:rFonts w:ascii="Times New Roman" w:eastAsia="CIDFont+F2" w:hAnsi="Times New Roman" w:cs="Times New Roman"/>
          <w:sz w:val="24"/>
          <w:szCs w:val="24"/>
        </w:rPr>
        <w:t xml:space="preserve"> sa nebud</w:t>
      </w:r>
      <w:r w:rsidRPr="00B07902">
        <w:rPr>
          <w:rFonts w:ascii="Times New Roman" w:eastAsia="CIDFont+F2" w:hAnsi="Times New Roman" w:cs="Times New Roman"/>
          <w:sz w:val="24"/>
          <w:szCs w:val="24"/>
        </w:rPr>
        <w:t>e</w:t>
      </w:r>
      <w:r w:rsidRPr="00B07902">
        <w:rPr>
          <w:rFonts w:ascii="Times New Roman" w:eastAsia="CIDFont+F2" w:hAnsi="Times New Roman" w:cs="Times New Roman"/>
          <w:sz w:val="24"/>
          <w:szCs w:val="24"/>
        </w:rPr>
        <w:t xml:space="preserve"> využívať len po dobu trvania projektu</w:t>
      </w:r>
      <w:r w:rsidRPr="00B07902">
        <w:rPr>
          <w:rFonts w:ascii="Times New Roman" w:eastAsia="CIDFont+F2" w:hAnsi="Times New Roman" w:cs="Times New Roman"/>
          <w:sz w:val="24"/>
          <w:szCs w:val="24"/>
        </w:rPr>
        <w:t xml:space="preserve">, </w:t>
      </w:r>
      <w:r w:rsidRPr="00B07902">
        <w:rPr>
          <w:rFonts w:ascii="Times New Roman" w:eastAsia="CIDFont+F2" w:hAnsi="Times New Roman" w:cs="Times New Roman"/>
          <w:sz w:val="24"/>
          <w:szCs w:val="24"/>
        </w:rPr>
        <w:t>ale bud</w:t>
      </w:r>
      <w:r w:rsidRPr="00B07902">
        <w:rPr>
          <w:rFonts w:ascii="Times New Roman" w:eastAsia="CIDFont+F2" w:hAnsi="Times New Roman" w:cs="Times New Roman"/>
          <w:sz w:val="24"/>
          <w:szCs w:val="24"/>
        </w:rPr>
        <w:t>e</w:t>
      </w:r>
      <w:r w:rsidRPr="00B07902">
        <w:rPr>
          <w:rFonts w:ascii="Times New Roman" w:eastAsia="CIDFont+F2" w:hAnsi="Times New Roman" w:cs="Times New Roman"/>
          <w:sz w:val="24"/>
          <w:szCs w:val="24"/>
        </w:rPr>
        <w:t xml:space="preserve"> využívané niekoľko rokov po jeho</w:t>
      </w:r>
      <w:r w:rsidRPr="00B07902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07902">
        <w:rPr>
          <w:rFonts w:ascii="Times New Roman" w:eastAsia="CIDFont+F2" w:hAnsi="Times New Roman" w:cs="Times New Roman"/>
          <w:sz w:val="24"/>
          <w:szCs w:val="24"/>
        </w:rPr>
        <w:t>skončení, denne pri výučbe žiakov študijných</w:t>
      </w:r>
      <w:r w:rsidRPr="00B07902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07902">
        <w:rPr>
          <w:rFonts w:ascii="Times New Roman" w:eastAsia="CIDFont+F2" w:hAnsi="Times New Roman" w:cs="Times New Roman"/>
          <w:sz w:val="24"/>
          <w:szCs w:val="24"/>
        </w:rPr>
        <w:t>odborov hotelová akadémia, čašník, kuchár a učebných odborov čašník a kuchár.</w:t>
      </w:r>
    </w:p>
    <w:p w14:paraId="2F26BF35" w14:textId="77777777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79FEC8ED" w:rsidR="004451C7" w:rsidRDefault="00B07902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1752,00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55628850" w:rsidR="004451C7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62F155B8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096ED49C" w14:textId="5EB5CECA" w:rsidR="00B07902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BDF24BB" w14:textId="5B48AB4E" w:rsidR="004451C7" w:rsidRDefault="005F1626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A9125C0" w14:textId="24B46A4D" w:rsidR="004451C7" w:rsidRDefault="00B07902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1776,00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34E0A370" w:rsidR="00256773" w:rsidRP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631728BB" w:rsidR="00256773" w:rsidRDefault="005F1626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1872,00</w:t>
            </w:r>
            <w:bookmarkStart w:id="0" w:name="_GoBack"/>
            <w:bookmarkEnd w:id="0"/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28</cp:revision>
  <cp:lastPrinted>2020-03-11T13:54:00Z</cp:lastPrinted>
  <dcterms:created xsi:type="dcterms:W3CDTF">2016-12-07T09:25:00Z</dcterms:created>
  <dcterms:modified xsi:type="dcterms:W3CDTF">2021-04-12T12:06:00Z</dcterms:modified>
</cp:coreProperties>
</file>